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00D8B" w14:textId="77777777" w:rsidR="0029197C" w:rsidRPr="0029197C" w:rsidRDefault="0029197C" w:rsidP="0029197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b/>
          <w:color w:val="343638"/>
          <w:sz w:val="28"/>
          <w:szCs w:val="28"/>
        </w:rPr>
      </w:pPr>
      <w:r w:rsidRPr="0029197C">
        <w:rPr>
          <w:rFonts w:asciiTheme="majorHAnsi" w:hAnsiTheme="majorHAnsi" w:cs="Helvetica"/>
          <w:b/>
          <w:color w:val="343638"/>
          <w:sz w:val="28"/>
          <w:szCs w:val="28"/>
        </w:rPr>
        <w:t xml:space="preserve">CV </w:t>
      </w:r>
      <w:r>
        <w:rPr>
          <w:rFonts w:asciiTheme="majorHAnsi" w:hAnsiTheme="majorHAnsi" w:cs="Helvetica"/>
          <w:b/>
          <w:color w:val="343638"/>
          <w:sz w:val="28"/>
          <w:szCs w:val="28"/>
        </w:rPr>
        <w:t xml:space="preserve">Professionale </w:t>
      </w:r>
      <w:r w:rsidRPr="0029197C">
        <w:rPr>
          <w:rFonts w:asciiTheme="majorHAnsi" w:hAnsiTheme="majorHAnsi" w:cs="Helvetica"/>
          <w:b/>
          <w:color w:val="343638"/>
          <w:sz w:val="28"/>
          <w:szCs w:val="28"/>
        </w:rPr>
        <w:t>di Luigi Severini</w:t>
      </w:r>
    </w:p>
    <w:p w14:paraId="4484805C" w14:textId="77777777" w:rsidR="0029197C" w:rsidRDefault="0029197C" w:rsidP="0029197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color w:val="343638"/>
          <w:sz w:val="28"/>
          <w:szCs w:val="28"/>
        </w:rPr>
      </w:pPr>
    </w:p>
    <w:p w14:paraId="2A3D34CC" w14:textId="77777777" w:rsidR="0029197C" w:rsidRPr="0029197C" w:rsidRDefault="0029197C" w:rsidP="0029197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color w:val="343638"/>
          <w:sz w:val="28"/>
          <w:szCs w:val="28"/>
        </w:rPr>
      </w:pPr>
      <w:r w:rsidRPr="0029197C">
        <w:rPr>
          <w:rFonts w:asciiTheme="majorHAnsi" w:hAnsiTheme="majorHAnsi" w:cs="Helvetica"/>
          <w:color w:val="343638"/>
          <w:sz w:val="28"/>
          <w:szCs w:val="28"/>
        </w:rPr>
        <w:t>Esperienza</w:t>
      </w:r>
    </w:p>
    <w:p w14:paraId="091F34C1" w14:textId="77777777" w:rsidR="0029197C" w:rsidRPr="0029197C" w:rsidRDefault="0029197C" w:rsidP="002919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hyperlink r:id="rId6" w:history="1"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Presidente</w:t>
        </w:r>
      </w:hyperlink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343638"/>
          <w:sz w:val="28"/>
          <w:szCs w:val="28"/>
        </w:rPr>
        <w:t>AIDP Calabria - Associazione Nazionale Direttori del Personale 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 xml:space="preserve">maggio 2015 – Presente (2 anni </w:t>
      </w:r>
      <w:proofErr w:type="gramStart"/>
      <w:r w:rsidRPr="0029197C">
        <w:rPr>
          <w:rFonts w:asciiTheme="majorHAnsi" w:hAnsiTheme="majorHAnsi" w:cs="Helvetica"/>
          <w:color w:val="545657"/>
          <w:sz w:val="28"/>
          <w:szCs w:val="28"/>
        </w:rPr>
        <w:t>5</w:t>
      </w:r>
      <w:proofErr w:type="gramEnd"/>
      <w:r w:rsidRPr="0029197C">
        <w:rPr>
          <w:rFonts w:asciiTheme="majorHAnsi" w:hAnsiTheme="majorHAnsi" w:cs="Helvetica"/>
          <w:color w:val="545657"/>
          <w:sz w:val="28"/>
          <w:szCs w:val="28"/>
        </w:rPr>
        <w:t xml:space="preserve"> mesi) 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Associazione che rappresenta i Direttori del Personale</w:t>
      </w:r>
    </w:p>
    <w:p w14:paraId="0D377DE6" w14:textId="77777777" w:rsidR="0029197C" w:rsidRPr="0029197C" w:rsidRDefault="0029197C" w:rsidP="002919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color w:val="215D92"/>
          <w:sz w:val="28"/>
          <w:szCs w:val="28"/>
        </w:rPr>
        <w:tab/>
      </w:r>
      <w:r w:rsidRPr="0029197C">
        <w:rPr>
          <w:rFonts w:asciiTheme="majorHAnsi" w:hAnsiTheme="majorHAnsi" w:cs="Helvetica"/>
          <w:color w:val="215D92"/>
          <w:sz w:val="28"/>
          <w:szCs w:val="28"/>
        </w:rPr>
        <w:tab/>
      </w:r>
      <w:hyperlink r:id="rId7" w:history="1"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Direttore</w:t>
        </w:r>
      </w:hyperlink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hyperlink r:id="rId8" w:history="1">
        <w:r w:rsidRPr="0029197C">
          <w:rPr>
            <w:rFonts w:asciiTheme="majorHAnsi" w:hAnsiTheme="majorHAnsi" w:cs="Helvetica"/>
            <w:color w:val="343638"/>
            <w:sz w:val="28"/>
            <w:szCs w:val="28"/>
          </w:rPr>
          <w:t>Cassa Edile di Catanzaro, Crotone e Vibo Valentia</w:t>
        </w:r>
      </w:hyperlink>
      <w:r w:rsidRPr="0029197C">
        <w:rPr>
          <w:rFonts w:asciiTheme="majorHAnsi" w:hAnsiTheme="majorHAnsi" w:cs="Helvetica"/>
          <w:color w:val="343638"/>
          <w:sz w:val="28"/>
          <w:szCs w:val="28"/>
        </w:rPr>
        <w:t>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maggio 2010 – Presente (7 anni 5 mesi) 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Buildings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Workers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>' Welfare Funds  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They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are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independent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bodies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founded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in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every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province of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Italy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according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to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rules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national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collective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agreement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signed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by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Employers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'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Federation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and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three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national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Trade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Unions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sector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.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history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Welfare Funds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very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long</w:t>
      </w:r>
      <w:proofErr w:type="gramStart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:</w:t>
      </w:r>
      <w:proofErr w:type="gram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the first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was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founded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in Milan in 1919;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others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mainly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after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the end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second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World War. Like the National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Committee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each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Welfare Fund (an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autonomous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gramStart"/>
      <w:r w:rsidRPr="0029197C">
        <w:rPr>
          <w:rFonts w:asciiTheme="majorHAnsi" w:hAnsiTheme="majorHAnsi" w:cs="Helvetica"/>
          <w:color w:val="262626"/>
          <w:sz w:val="28"/>
          <w:szCs w:val="28"/>
        </w:rPr>
        <w:t>body</w:t>
      </w:r>
      <w:proofErr w:type="gram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stated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before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)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managed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by a joint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board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composed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representatives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local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building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trade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unions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and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contractors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association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. </w:t>
      </w:r>
      <w:proofErr w:type="spellStart"/>
      <w:proofErr w:type="gramStart"/>
      <w:r w:rsidRPr="0029197C">
        <w:rPr>
          <w:rFonts w:asciiTheme="majorHAnsi" w:hAnsiTheme="majorHAnsi" w:cs="Helvetica"/>
          <w:color w:val="262626"/>
          <w:sz w:val="28"/>
          <w:szCs w:val="28"/>
        </w:rPr>
        <w:t>Although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they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are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independent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bodies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created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by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local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organisations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structure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Welfare Funds and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their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most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important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functions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are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d</w:t>
      </w:r>
      <w:proofErr w:type="gramEnd"/>
      <w:r w:rsidRPr="0029197C">
        <w:rPr>
          <w:rFonts w:asciiTheme="majorHAnsi" w:hAnsiTheme="majorHAnsi" w:cs="Helvetica"/>
          <w:color w:val="262626"/>
          <w:sz w:val="28"/>
          <w:szCs w:val="28"/>
        </w:rPr>
        <w:t>efined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by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national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collective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agreement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.  The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main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activity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-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which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was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basis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foundation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many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years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ago -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to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receive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every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month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 part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salary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from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firms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which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destined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for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payment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holidays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(20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working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days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per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year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) and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thirteenth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monthly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salary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paid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proofErr w:type="gramStart"/>
      <w:r w:rsidRPr="0029197C">
        <w:rPr>
          <w:rFonts w:asciiTheme="majorHAnsi" w:hAnsiTheme="majorHAnsi" w:cs="Helvetica"/>
          <w:color w:val="262626"/>
          <w:sz w:val="28"/>
          <w:szCs w:val="28"/>
        </w:rPr>
        <w:t>at</w:t>
      </w:r>
      <w:proofErr w:type="spellEnd"/>
      <w:proofErr w:type="gram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Christmas. </w:t>
      </w:r>
      <w:proofErr w:type="gramStart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The sum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received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by the Welfare Funds and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then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by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workers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now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18.50%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monthly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salary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each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worker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(10% for Christmas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salary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</w:t>
      </w:r>
      <w:proofErr w:type="gram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nd 8.50% for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holidays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).  Second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activity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: in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May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every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year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the Welfare Fund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gives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workers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another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important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part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wage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which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calculated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according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to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length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service in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sector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and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amount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gramStart"/>
      <w:r w:rsidRPr="0029197C">
        <w:rPr>
          <w:rFonts w:asciiTheme="majorHAnsi" w:hAnsiTheme="majorHAnsi" w:cs="Helvetica"/>
          <w:color w:val="262626"/>
          <w:sz w:val="28"/>
          <w:szCs w:val="28"/>
        </w:rPr>
        <w:t>of</w:t>
      </w:r>
      <w:proofErr w:type="gram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work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done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by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each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worker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over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previous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year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.  The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most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significant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fact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the connection of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this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part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salary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with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length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service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worker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in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whole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sector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building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industry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irrespective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length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service with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any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particular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firm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. For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this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reward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for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seniority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in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sector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managed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in a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mutual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way by the Fund, the companies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pay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contribution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about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5% of the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salary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>.</w:t>
      </w:r>
    </w:p>
    <w:p w14:paraId="24E5935C" w14:textId="77777777" w:rsidR="0029197C" w:rsidRPr="0029197C" w:rsidRDefault="0029197C" w:rsidP="002919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Member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 xml:space="preserve"> of the Directive </w:t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Council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343638"/>
          <w:sz w:val="28"/>
          <w:szCs w:val="28"/>
        </w:rPr>
        <w:t xml:space="preserve">AIDP– </w:t>
      </w:r>
      <w:proofErr w:type="spellStart"/>
      <w:r w:rsidRPr="0029197C">
        <w:rPr>
          <w:rFonts w:asciiTheme="majorHAnsi" w:hAnsiTheme="majorHAnsi" w:cs="Helvetica"/>
          <w:color w:val="343638"/>
          <w:sz w:val="28"/>
          <w:szCs w:val="28"/>
        </w:rPr>
        <w:t>Italian</w:t>
      </w:r>
      <w:proofErr w:type="spellEnd"/>
      <w:r w:rsidRPr="0029197C">
        <w:rPr>
          <w:rFonts w:asciiTheme="majorHAnsi" w:hAnsiTheme="majorHAnsi" w:cs="Helvetica"/>
          <w:color w:val="343638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343638"/>
          <w:sz w:val="28"/>
          <w:szCs w:val="28"/>
        </w:rPr>
        <w:t>Association</w:t>
      </w:r>
      <w:proofErr w:type="spellEnd"/>
      <w:r w:rsidRPr="0029197C">
        <w:rPr>
          <w:rFonts w:asciiTheme="majorHAnsi" w:hAnsiTheme="majorHAnsi" w:cs="Helvetica"/>
          <w:color w:val="343638"/>
          <w:sz w:val="28"/>
          <w:szCs w:val="28"/>
        </w:rPr>
        <w:t xml:space="preserve"> for the Human Resource - Calabria 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 xml:space="preserve">gennaio 2004 – maggio 2015 (11 anni </w:t>
      </w:r>
      <w:proofErr w:type="gramStart"/>
      <w:r w:rsidRPr="0029197C">
        <w:rPr>
          <w:rFonts w:asciiTheme="majorHAnsi" w:hAnsiTheme="majorHAnsi" w:cs="Helvetica"/>
          <w:color w:val="545657"/>
          <w:sz w:val="28"/>
          <w:szCs w:val="28"/>
        </w:rPr>
        <w:t>5</w:t>
      </w:r>
      <w:proofErr w:type="gramEnd"/>
      <w:r w:rsidRPr="0029197C">
        <w:rPr>
          <w:rFonts w:asciiTheme="majorHAnsi" w:hAnsiTheme="majorHAnsi" w:cs="Helvetica"/>
          <w:color w:val="545657"/>
          <w:sz w:val="28"/>
          <w:szCs w:val="28"/>
        </w:rPr>
        <w:t xml:space="preserve"> mesi) 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Representative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assignment</w:t>
      </w:r>
      <w:proofErr w:type="spellEnd"/>
    </w:p>
    <w:p w14:paraId="1652E9BF" w14:textId="77777777" w:rsidR="0029197C" w:rsidRPr="0029197C" w:rsidRDefault="0029197C" w:rsidP="002919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color w:val="215D92"/>
          <w:sz w:val="28"/>
          <w:szCs w:val="28"/>
        </w:rPr>
        <w:tab/>
      </w:r>
      <w:r w:rsidRPr="0029197C">
        <w:rPr>
          <w:rFonts w:asciiTheme="majorHAnsi" w:hAnsiTheme="majorHAnsi" w:cs="Helvetica"/>
          <w:color w:val="215D92"/>
          <w:sz w:val="28"/>
          <w:szCs w:val="28"/>
        </w:rPr>
        <w:tab/>
      </w:r>
      <w:hyperlink r:id="rId9" w:history="1"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Presidente</w:t>
        </w:r>
      </w:hyperlink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hyperlink r:id="rId10" w:history="1">
        <w:r w:rsidRPr="0029197C">
          <w:rPr>
            <w:rFonts w:asciiTheme="majorHAnsi" w:hAnsiTheme="majorHAnsi" w:cs="Helvetica"/>
            <w:color w:val="343638"/>
            <w:sz w:val="28"/>
            <w:szCs w:val="28"/>
          </w:rPr>
          <w:t>INAIL DI CATANZARO</w:t>
        </w:r>
      </w:hyperlink>
      <w:r w:rsidRPr="0029197C">
        <w:rPr>
          <w:rFonts w:asciiTheme="majorHAnsi" w:hAnsiTheme="majorHAnsi" w:cs="Helvetica"/>
          <w:color w:val="343638"/>
          <w:sz w:val="28"/>
          <w:szCs w:val="28"/>
        </w:rPr>
        <w:t>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aprile 2009 – novembre 2013 (4 anni 8 mesi) 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honorary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nomination</w:t>
      </w:r>
    </w:p>
    <w:p w14:paraId="05DDF625" w14:textId="77777777" w:rsidR="0029197C" w:rsidRPr="0029197C" w:rsidRDefault="0029197C" w:rsidP="002919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hyperlink r:id="rId11" w:history="1"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Vice </w:t>
        </w:r>
        <w:proofErr w:type="spellStart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President</w:t>
        </w:r>
        <w:proofErr w:type="spellEnd"/>
      </w:hyperlink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hyperlink r:id="rId12" w:history="1">
        <w:r w:rsidRPr="0029197C">
          <w:rPr>
            <w:rFonts w:asciiTheme="majorHAnsi" w:hAnsiTheme="majorHAnsi" w:cs="Helvetica"/>
            <w:color w:val="343638"/>
            <w:sz w:val="28"/>
            <w:szCs w:val="28"/>
          </w:rPr>
          <w:t xml:space="preserve">INPS (National Social Security </w:t>
        </w:r>
        <w:proofErr w:type="spellStart"/>
        <w:r w:rsidRPr="0029197C">
          <w:rPr>
            <w:rFonts w:asciiTheme="majorHAnsi" w:hAnsiTheme="majorHAnsi" w:cs="Helvetica"/>
            <w:color w:val="343638"/>
            <w:sz w:val="28"/>
            <w:szCs w:val="28"/>
          </w:rPr>
          <w:t>Institute</w:t>
        </w:r>
        <w:proofErr w:type="spellEnd"/>
        <w:r w:rsidRPr="0029197C">
          <w:rPr>
            <w:rFonts w:asciiTheme="majorHAnsi" w:hAnsiTheme="majorHAnsi" w:cs="Helvetica"/>
            <w:color w:val="343638"/>
            <w:sz w:val="28"/>
            <w:szCs w:val="28"/>
          </w:rPr>
          <w:t>) of Catanzaro</w:t>
        </w:r>
      </w:hyperlink>
      <w:r w:rsidRPr="0029197C">
        <w:rPr>
          <w:rFonts w:asciiTheme="majorHAnsi" w:hAnsiTheme="majorHAnsi" w:cs="Helvetica"/>
          <w:color w:val="343638"/>
          <w:sz w:val="28"/>
          <w:szCs w:val="28"/>
        </w:rPr>
        <w:t>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gennaio 2007 – aprile 2010 (3 anni 4 mesi) 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Honorary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Nomination</w:t>
      </w:r>
    </w:p>
    <w:p w14:paraId="2F388DEF" w14:textId="77777777" w:rsidR="0029197C" w:rsidRPr="0029197C" w:rsidRDefault="0029197C" w:rsidP="002919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lastRenderedPageBreak/>
        <w:tab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ab/>
        <w:t xml:space="preserve">HR Manager - Union </w:t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Negoziation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343638"/>
          <w:sz w:val="28"/>
          <w:szCs w:val="28"/>
        </w:rPr>
        <w:t>Confindustria Catanzaro 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 xml:space="preserve">febbraio 2000 – aprile 2010 (10 anni </w:t>
      </w:r>
      <w:proofErr w:type="gramStart"/>
      <w:r w:rsidRPr="0029197C">
        <w:rPr>
          <w:rFonts w:asciiTheme="majorHAnsi" w:hAnsiTheme="majorHAnsi" w:cs="Helvetica"/>
          <w:color w:val="545657"/>
          <w:sz w:val="28"/>
          <w:szCs w:val="28"/>
        </w:rPr>
        <w:t>3</w:t>
      </w:r>
      <w:proofErr w:type="gramEnd"/>
      <w:r w:rsidRPr="0029197C">
        <w:rPr>
          <w:rFonts w:asciiTheme="majorHAnsi" w:hAnsiTheme="majorHAnsi" w:cs="Helvetica"/>
          <w:color w:val="545657"/>
          <w:sz w:val="28"/>
          <w:szCs w:val="28"/>
        </w:rPr>
        <w:t xml:space="preserve"> mesi)</w:t>
      </w:r>
    </w:p>
    <w:p w14:paraId="27A9CEE9" w14:textId="77777777" w:rsidR="0029197C" w:rsidRPr="0029197C" w:rsidRDefault="0029197C" w:rsidP="002919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Member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 xml:space="preserve"> of </w:t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Provincial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Committee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 xml:space="preserve"> of </w:t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Salary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 xml:space="preserve"> Integration </w:t>
      </w:r>
      <w:hyperlink r:id="rId13" w:history="1">
        <w:r w:rsidRPr="0029197C">
          <w:rPr>
            <w:rFonts w:asciiTheme="majorHAnsi" w:hAnsiTheme="majorHAnsi" w:cs="Helvetica"/>
            <w:color w:val="343638"/>
            <w:sz w:val="28"/>
            <w:szCs w:val="28"/>
          </w:rPr>
          <w:t>INPS Catanzaro</w:t>
        </w:r>
      </w:hyperlink>
      <w:r w:rsidRPr="0029197C">
        <w:rPr>
          <w:rFonts w:asciiTheme="majorHAnsi" w:hAnsiTheme="majorHAnsi" w:cs="Helvetica"/>
          <w:color w:val="343638"/>
          <w:sz w:val="28"/>
          <w:szCs w:val="28"/>
        </w:rPr>
        <w:t>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gennaio 2000 – aprile 2010 (10 anni 4 mesi) 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Law/Title n° 6.8.1975</w:t>
      </w:r>
    </w:p>
    <w:p w14:paraId="38738641" w14:textId="77777777" w:rsidR="0029197C" w:rsidRPr="0029197C" w:rsidRDefault="0029197C" w:rsidP="0029197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hyperlink r:id="rId14" w:history="1"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Advisor</w:t>
        </w:r>
      </w:hyperlink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343638"/>
          <w:sz w:val="28"/>
          <w:szCs w:val="28"/>
        </w:rPr>
        <w:t xml:space="preserve">Local </w:t>
      </w:r>
      <w:proofErr w:type="spellStart"/>
      <w:r w:rsidRPr="0029197C">
        <w:rPr>
          <w:rFonts w:asciiTheme="majorHAnsi" w:hAnsiTheme="majorHAnsi" w:cs="Helvetica"/>
          <w:color w:val="343638"/>
          <w:sz w:val="28"/>
          <w:szCs w:val="28"/>
        </w:rPr>
        <w:t>Firms</w:t>
      </w:r>
      <w:proofErr w:type="spellEnd"/>
      <w:r w:rsidRPr="0029197C">
        <w:rPr>
          <w:rFonts w:asciiTheme="majorHAnsi" w:hAnsiTheme="majorHAnsi" w:cs="Helvetica"/>
          <w:color w:val="343638"/>
          <w:sz w:val="28"/>
          <w:szCs w:val="28"/>
        </w:rPr>
        <w:t>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 xml:space="preserve">gennaio 2003 – settembre 2009 (6 anni </w:t>
      </w:r>
      <w:proofErr w:type="gramStart"/>
      <w:r w:rsidRPr="0029197C">
        <w:rPr>
          <w:rFonts w:asciiTheme="majorHAnsi" w:hAnsiTheme="majorHAnsi" w:cs="Helvetica"/>
          <w:color w:val="545657"/>
          <w:sz w:val="28"/>
          <w:szCs w:val="28"/>
        </w:rPr>
        <w:t>9</w:t>
      </w:r>
      <w:proofErr w:type="gramEnd"/>
      <w:r w:rsidRPr="0029197C">
        <w:rPr>
          <w:rFonts w:asciiTheme="majorHAnsi" w:hAnsiTheme="majorHAnsi" w:cs="Helvetica"/>
          <w:color w:val="545657"/>
          <w:sz w:val="28"/>
          <w:szCs w:val="28"/>
        </w:rPr>
        <w:t xml:space="preserve"> mesi) 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Project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about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HR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development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: job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evaluation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compensation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benchmark, performance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appraisal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employee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development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recruitment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and training, outplacement</w:t>
      </w:r>
    </w:p>
    <w:p w14:paraId="42F23BA3" w14:textId="77777777" w:rsidR="0029197C" w:rsidRDefault="0029197C" w:rsidP="0029197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color w:val="343638"/>
          <w:sz w:val="28"/>
          <w:szCs w:val="28"/>
        </w:rPr>
      </w:pPr>
    </w:p>
    <w:p w14:paraId="61E6B5C1" w14:textId="77777777" w:rsidR="0029197C" w:rsidRPr="0029197C" w:rsidRDefault="0029197C" w:rsidP="0029197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color w:val="343638"/>
          <w:sz w:val="28"/>
          <w:szCs w:val="28"/>
        </w:rPr>
      </w:pPr>
      <w:r w:rsidRPr="0029197C">
        <w:rPr>
          <w:rFonts w:asciiTheme="majorHAnsi" w:hAnsiTheme="majorHAnsi" w:cs="Helvetica"/>
          <w:color w:val="343638"/>
          <w:sz w:val="28"/>
          <w:szCs w:val="28"/>
        </w:rPr>
        <w:t>Competenze</w:t>
      </w:r>
    </w:p>
    <w:p w14:paraId="6AD78946" w14:textId="77777777" w:rsidR="0029197C" w:rsidRPr="0029197C" w:rsidRDefault="0029197C" w:rsidP="0029197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color w:val="262626"/>
          <w:sz w:val="28"/>
          <w:szCs w:val="28"/>
        </w:rPr>
        <w:tab/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ab/>
      </w:r>
      <w:proofErr w:type="gramStart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Human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Resources</w:t>
      </w:r>
      <w:proofErr w:type="spellEnd"/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Recruiting</w:t>
      </w:r>
      <w:proofErr w:type="spellEnd"/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Training</w:t>
      </w:r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Deferred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Compensation</w:t>
      </w:r>
      <w:proofErr w:type="spellEnd"/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Performance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Appraisal</w:t>
      </w:r>
      <w:proofErr w:type="spellEnd"/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Integration</w:t>
      </w:r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Project Management</w:t>
      </w:r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Business Planning</w:t>
      </w:r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Change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Mana</w:t>
      </w:r>
      <w:proofErr w:type="gramEnd"/>
      <w:r w:rsidRPr="0029197C">
        <w:rPr>
          <w:rFonts w:asciiTheme="majorHAnsi" w:hAnsiTheme="majorHAnsi" w:cs="Helvetica"/>
          <w:color w:val="262626"/>
          <w:sz w:val="28"/>
          <w:szCs w:val="28"/>
        </w:rPr>
        <w:t>gement</w:t>
      </w:r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Project Planning</w:t>
      </w:r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Strategic Planning</w:t>
      </w:r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Management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Consulting</w:t>
      </w:r>
      <w:proofErr w:type="spellEnd"/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Management</w:t>
      </w:r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Business Analysis</w:t>
      </w:r>
      <w:r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Risk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Management</w:t>
      </w:r>
    </w:p>
    <w:p w14:paraId="69BA2C4D" w14:textId="77777777" w:rsidR="0029197C" w:rsidRPr="0029197C" w:rsidRDefault="0029197C" w:rsidP="0029197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color w:val="262626"/>
          <w:sz w:val="28"/>
          <w:szCs w:val="28"/>
        </w:rPr>
      </w:pPr>
      <w:r w:rsidRPr="0029197C">
        <w:rPr>
          <w:rFonts w:asciiTheme="majorHAnsi" w:hAnsiTheme="majorHAnsi" w:cs="Helvetica"/>
          <w:color w:val="262626"/>
          <w:sz w:val="28"/>
          <w:szCs w:val="28"/>
        </w:rPr>
        <w:tab/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ab/>
      </w:r>
    </w:p>
    <w:p w14:paraId="26427924" w14:textId="77777777" w:rsidR="0029197C" w:rsidRPr="0029197C" w:rsidRDefault="0029197C" w:rsidP="0029197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color w:val="343638"/>
          <w:sz w:val="28"/>
          <w:szCs w:val="28"/>
        </w:rPr>
      </w:pPr>
      <w:r w:rsidRPr="0029197C">
        <w:rPr>
          <w:rFonts w:asciiTheme="majorHAnsi" w:hAnsiTheme="majorHAnsi" w:cs="Helvetica"/>
          <w:color w:val="343638"/>
          <w:sz w:val="28"/>
          <w:szCs w:val="28"/>
        </w:rPr>
        <w:t>Formazione</w:t>
      </w:r>
    </w:p>
    <w:p w14:paraId="5F2E1485" w14:textId="77777777" w:rsidR="0029197C" w:rsidRPr="0029197C" w:rsidRDefault="0029197C" w:rsidP="0029197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right="-93"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Study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 xml:space="preserve"> Tour in </w:t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Silicon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 xml:space="preserve"> Valley </w:t>
      </w:r>
      <w:r w:rsidRPr="0029197C">
        <w:rPr>
          <w:rFonts w:asciiTheme="majorHAnsi" w:hAnsiTheme="majorHAnsi" w:cs="Helvetica"/>
          <w:color w:val="343638"/>
          <w:sz w:val="28"/>
          <w:szCs w:val="28"/>
        </w:rPr>
        <w:t>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2014 – 2014 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Organization of Services Companies; Leadership;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Strategies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for Success Business; Venture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Capitalist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business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valuation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. Company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Visits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: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Standfor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Google, IBM, HP, AIRBNB,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Mashape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Mobileiron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A3Cube,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Novedge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ADEspresso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>, GILD, SALESFORCE Attività e associazioni:</w:t>
      </w:r>
      <w:proofErr w:type="gramStart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'</w:t>
      </w:r>
      <w:proofErr w:type="spellStart"/>
      <w:proofErr w:type="gramEnd"/>
      <w:r w:rsidRPr="0029197C">
        <w:rPr>
          <w:rFonts w:asciiTheme="majorHAnsi" w:hAnsiTheme="majorHAnsi" w:cs="Helvetica"/>
          <w:color w:val="262626"/>
          <w:sz w:val="28"/>
          <w:szCs w:val="28"/>
        </w:rPr>
        <w:t>History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in the Future', SVIEC, 'Italiani di Frontiera' </w:t>
      </w:r>
    </w:p>
    <w:p w14:paraId="05D6263C" w14:textId="77777777" w:rsidR="0029197C" w:rsidRPr="0029197C" w:rsidRDefault="0029197C" w:rsidP="0029197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right="-93"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ab/>
        <w:t xml:space="preserve">Intensive </w:t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Study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 xml:space="preserve"> Tour Japan </w:t>
      </w:r>
      <w:r w:rsidRPr="0029197C">
        <w:rPr>
          <w:rFonts w:asciiTheme="majorHAnsi" w:hAnsiTheme="majorHAnsi" w:cs="Helvetica"/>
          <w:color w:val="343638"/>
          <w:sz w:val="28"/>
          <w:szCs w:val="28"/>
        </w:rPr>
        <w:t>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2014 – 2014 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Lean and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Factory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Plant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Tour 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lecturers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>: 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Satoshi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Kuroiwa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>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Senji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Niwa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> </w:t>
      </w:r>
    </w:p>
    <w:p w14:paraId="03857F34" w14:textId="77777777" w:rsidR="0029197C" w:rsidRPr="0029197C" w:rsidRDefault="0029197C" w:rsidP="0029197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right="-93"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ab/>
        <w:t xml:space="preserve">Intensive </w:t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Study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 xml:space="preserve"> Tour Japan </w:t>
      </w:r>
      <w:r w:rsidRPr="0029197C">
        <w:rPr>
          <w:rFonts w:asciiTheme="majorHAnsi" w:hAnsiTheme="majorHAnsi" w:cs="Helvetica"/>
          <w:color w:val="343638"/>
          <w:sz w:val="28"/>
          <w:szCs w:val="28"/>
        </w:rPr>
        <w:t>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2011 – 2011 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Lean and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Factory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Plant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Tour 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lecturers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>: 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Akihiro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Ito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>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Saburo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Fukagawa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> </w:t>
      </w:r>
    </w:p>
    <w:p w14:paraId="336D923B" w14:textId="77777777" w:rsidR="0029197C" w:rsidRPr="0029197C" w:rsidRDefault="0029197C" w:rsidP="0029197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color w:val="215D92"/>
          <w:sz w:val="28"/>
          <w:szCs w:val="28"/>
        </w:rPr>
        <w:tab/>
      </w:r>
      <w:r w:rsidRPr="0029197C">
        <w:rPr>
          <w:rFonts w:asciiTheme="majorHAnsi" w:hAnsiTheme="majorHAnsi" w:cs="Helvetica"/>
          <w:color w:val="215D92"/>
          <w:sz w:val="28"/>
          <w:szCs w:val="28"/>
        </w:rPr>
        <w:tab/>
      </w:r>
      <w:hyperlink r:id="rId15" w:history="1">
        <w:proofErr w:type="spellStart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Lehigh</w:t>
        </w:r>
        <w:proofErr w:type="spellEnd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 </w:t>
        </w:r>
        <w:proofErr w:type="spellStart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University</w:t>
        </w:r>
        <w:proofErr w:type="spellEnd"/>
      </w:hyperlink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proofErr w:type="spellStart"/>
      <w:r w:rsidRPr="0029197C">
        <w:rPr>
          <w:rFonts w:asciiTheme="majorHAnsi" w:hAnsiTheme="majorHAnsi" w:cs="Helvetica"/>
          <w:color w:val="343638"/>
          <w:sz w:val="28"/>
          <w:szCs w:val="28"/>
        </w:rPr>
        <w:t>Economics</w:t>
      </w:r>
      <w:proofErr w:type="spellEnd"/>
      <w:r w:rsidRPr="0029197C">
        <w:rPr>
          <w:rFonts w:asciiTheme="majorHAnsi" w:hAnsiTheme="majorHAnsi" w:cs="Helvetica"/>
          <w:color w:val="343638"/>
          <w:sz w:val="28"/>
          <w:szCs w:val="28"/>
        </w:rPr>
        <w:t>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2009 – 2009 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Attività e associazioni: The Global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Village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for Future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Leaders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Business and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Industry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®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an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applied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leadership, cross cultural training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program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designed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for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young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professionals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and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experienced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students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who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share the </w:t>
      </w:r>
      <w:proofErr w:type="spellStart"/>
      <w:proofErr w:type="gramStart"/>
      <w:r w:rsidRPr="0029197C">
        <w:rPr>
          <w:rFonts w:asciiTheme="majorHAnsi" w:hAnsiTheme="majorHAnsi" w:cs="Helvetica"/>
          <w:color w:val="262626"/>
          <w:sz w:val="28"/>
          <w:szCs w:val="28"/>
        </w:rPr>
        <w:t>dream</w:t>
      </w:r>
      <w:proofErr w:type="spellEnd"/>
      <w:proofErr w:type="gram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of building a leadership career in business and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industry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who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want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to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make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 positive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change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in life, and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who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want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to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form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an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active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and global network. </w:t>
      </w:r>
    </w:p>
    <w:p w14:paraId="0D8FBEF3" w14:textId="77777777" w:rsidR="0029197C" w:rsidRPr="0029197C" w:rsidRDefault="0029197C" w:rsidP="0029197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color w:val="215D92"/>
          <w:sz w:val="28"/>
          <w:szCs w:val="28"/>
        </w:rPr>
        <w:tab/>
      </w:r>
      <w:r w:rsidRPr="0029197C">
        <w:rPr>
          <w:rFonts w:asciiTheme="majorHAnsi" w:hAnsiTheme="majorHAnsi" w:cs="Helvetica"/>
          <w:color w:val="215D92"/>
          <w:sz w:val="28"/>
          <w:szCs w:val="28"/>
        </w:rPr>
        <w:tab/>
      </w:r>
      <w:hyperlink r:id="rId16" w:history="1"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Università degli Studi di Napoli Federico II</w:t>
        </w:r>
      </w:hyperlink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343638"/>
          <w:sz w:val="28"/>
          <w:szCs w:val="28"/>
        </w:rPr>
        <w:t xml:space="preserve">Advanced Course, </w:t>
      </w:r>
      <w:proofErr w:type="spellStart"/>
      <w:r w:rsidRPr="0029197C">
        <w:rPr>
          <w:rFonts w:asciiTheme="majorHAnsi" w:hAnsiTheme="majorHAnsi" w:cs="Helvetica"/>
          <w:color w:val="343638"/>
          <w:sz w:val="28"/>
          <w:szCs w:val="28"/>
        </w:rPr>
        <w:t>Economic</w:t>
      </w:r>
      <w:proofErr w:type="spellEnd"/>
      <w:r w:rsidRPr="0029197C">
        <w:rPr>
          <w:rFonts w:asciiTheme="majorHAnsi" w:hAnsiTheme="majorHAnsi" w:cs="Helvetica"/>
          <w:color w:val="343638"/>
          <w:sz w:val="28"/>
          <w:szCs w:val="28"/>
        </w:rPr>
        <w:t xml:space="preserve"> Business Management 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2002 – 2003</w:t>
      </w:r>
    </w:p>
    <w:p w14:paraId="5E9D17C3" w14:textId="77777777" w:rsidR="0029197C" w:rsidRPr="0029197C" w:rsidRDefault="0029197C" w:rsidP="0029197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right="-93"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ab/>
        <w:t>ELEA, SPEGEA, ISVOR FIAT, AND CONFINDUSTRIA </w:t>
      </w:r>
      <w:r w:rsidRPr="0029197C">
        <w:rPr>
          <w:rFonts w:asciiTheme="majorHAnsi" w:hAnsiTheme="majorHAnsi" w:cs="Helvetica"/>
          <w:color w:val="343638"/>
          <w:sz w:val="28"/>
          <w:szCs w:val="28"/>
        </w:rPr>
        <w:t>Master, Project Manager 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1999 – 2000</w:t>
      </w:r>
    </w:p>
    <w:p w14:paraId="4BA5897A" w14:textId="77777777" w:rsidR="0029197C" w:rsidRPr="0029197C" w:rsidRDefault="0029197C" w:rsidP="0029197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right="-93"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ab/>
      </w:r>
      <w:hyperlink r:id="rId17" w:history="1">
        <w:proofErr w:type="spellStart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University</w:t>
        </w:r>
        <w:proofErr w:type="spellEnd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 Magna </w:t>
        </w:r>
        <w:proofErr w:type="spellStart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Graecia</w:t>
        </w:r>
        <w:proofErr w:type="spellEnd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 of Catanzaro</w:t>
        </w:r>
      </w:hyperlink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343638"/>
          <w:sz w:val="28"/>
          <w:szCs w:val="28"/>
        </w:rPr>
        <w:t>Specialis</w:t>
      </w:r>
      <w:proofErr w:type="spellEnd"/>
      <w:r w:rsidRPr="0029197C">
        <w:rPr>
          <w:rFonts w:asciiTheme="majorHAnsi" w:hAnsiTheme="majorHAnsi" w:cs="Helvetica"/>
          <w:color w:val="343638"/>
          <w:sz w:val="28"/>
          <w:szCs w:val="28"/>
        </w:rPr>
        <w:t xml:space="preserve">t </w:t>
      </w:r>
      <w:proofErr w:type="spellStart"/>
      <w:r w:rsidRPr="0029197C">
        <w:rPr>
          <w:rFonts w:asciiTheme="majorHAnsi" w:hAnsiTheme="majorHAnsi" w:cs="Helvetica"/>
          <w:color w:val="343638"/>
          <w:sz w:val="28"/>
          <w:szCs w:val="28"/>
        </w:rPr>
        <w:t>degrees</w:t>
      </w:r>
      <w:proofErr w:type="spellEnd"/>
      <w:r w:rsidRPr="0029197C">
        <w:rPr>
          <w:rFonts w:asciiTheme="majorHAnsi" w:hAnsiTheme="majorHAnsi" w:cs="Helvetica"/>
          <w:color w:val="343638"/>
          <w:sz w:val="28"/>
          <w:szCs w:val="28"/>
        </w:rPr>
        <w:t xml:space="preserve">, Administration </w:t>
      </w:r>
      <w:proofErr w:type="spellStart"/>
      <w:r w:rsidRPr="0029197C">
        <w:rPr>
          <w:rFonts w:asciiTheme="majorHAnsi" w:hAnsiTheme="majorHAnsi" w:cs="Helvetica"/>
          <w:color w:val="343638"/>
          <w:sz w:val="28"/>
          <w:szCs w:val="28"/>
        </w:rPr>
        <w:t>Sciences</w:t>
      </w:r>
      <w:proofErr w:type="spellEnd"/>
      <w:r w:rsidRPr="0029197C">
        <w:rPr>
          <w:rFonts w:asciiTheme="majorHAnsi" w:hAnsiTheme="majorHAnsi" w:cs="Helvetica"/>
          <w:color w:val="343638"/>
          <w:sz w:val="28"/>
          <w:szCs w:val="28"/>
        </w:rPr>
        <w:t xml:space="preserve"> – International 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1994 – 1999</w:t>
      </w:r>
    </w:p>
    <w:p w14:paraId="2897EDE8" w14:textId="77777777" w:rsidR="0029197C" w:rsidRPr="0029197C" w:rsidRDefault="0029197C" w:rsidP="0029197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color w:val="215D92"/>
          <w:sz w:val="28"/>
          <w:szCs w:val="28"/>
        </w:rPr>
        <w:tab/>
      </w:r>
      <w:r w:rsidRPr="0029197C">
        <w:rPr>
          <w:rFonts w:asciiTheme="majorHAnsi" w:hAnsiTheme="majorHAnsi" w:cs="Helvetica"/>
          <w:color w:val="215D92"/>
          <w:sz w:val="28"/>
          <w:szCs w:val="28"/>
        </w:rPr>
        <w:tab/>
      </w:r>
      <w:hyperlink r:id="rId18" w:history="1">
        <w:proofErr w:type="spellStart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University</w:t>
        </w:r>
        <w:proofErr w:type="spellEnd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 of Wisconsin-Madison - School of Business</w:t>
        </w:r>
      </w:hyperlink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343638"/>
          <w:sz w:val="28"/>
          <w:szCs w:val="28"/>
        </w:rPr>
        <w:t>Transformationa</w:t>
      </w:r>
      <w:proofErr w:type="spellEnd"/>
      <w:r w:rsidRPr="0029197C">
        <w:rPr>
          <w:rFonts w:asciiTheme="majorHAnsi" w:hAnsiTheme="majorHAnsi" w:cs="Helvetica"/>
          <w:color w:val="343638"/>
          <w:sz w:val="28"/>
          <w:szCs w:val="28"/>
        </w:rPr>
        <w:t xml:space="preserve">l Leadership and Design </w:t>
      </w:r>
      <w:proofErr w:type="spellStart"/>
      <w:r w:rsidRPr="0029197C">
        <w:rPr>
          <w:rFonts w:asciiTheme="majorHAnsi" w:hAnsiTheme="majorHAnsi" w:cs="Helvetica"/>
          <w:color w:val="343638"/>
          <w:sz w:val="28"/>
          <w:szCs w:val="28"/>
        </w:rPr>
        <w:t>Thinking</w:t>
      </w:r>
      <w:proofErr w:type="spellEnd"/>
      <w:r w:rsidRPr="0029197C">
        <w:rPr>
          <w:rFonts w:asciiTheme="majorHAnsi" w:hAnsiTheme="majorHAnsi" w:cs="Helvetica"/>
          <w:color w:val="343638"/>
          <w:sz w:val="28"/>
          <w:szCs w:val="28"/>
        </w:rPr>
        <w:t xml:space="preserve"> for </w:t>
      </w:r>
      <w:proofErr w:type="spellStart"/>
      <w:r w:rsidRPr="0029197C">
        <w:rPr>
          <w:rFonts w:asciiTheme="majorHAnsi" w:hAnsiTheme="majorHAnsi" w:cs="Helvetica"/>
          <w:color w:val="343638"/>
          <w:sz w:val="28"/>
          <w:szCs w:val="28"/>
        </w:rPr>
        <w:t>Innovation</w:t>
      </w:r>
      <w:proofErr w:type="spellEnd"/>
      <w:r w:rsidRPr="0029197C">
        <w:rPr>
          <w:rFonts w:asciiTheme="majorHAnsi" w:hAnsiTheme="majorHAnsi" w:cs="Helvetica"/>
          <w:color w:val="343638"/>
          <w:sz w:val="28"/>
          <w:szCs w:val="28"/>
        </w:rPr>
        <w:t> </w:t>
      </w:r>
      <w:r w:rsidRPr="0029197C">
        <w:rPr>
          <w:rFonts w:asciiTheme="majorHAnsi" w:hAnsiTheme="majorHAnsi" w:cs="Helvetica"/>
          <w:sz w:val="28"/>
          <w:szCs w:val="28"/>
        </w:rPr>
        <w:t> </w:t>
      </w:r>
      <w:r w:rsidRPr="0029197C">
        <w:rPr>
          <w:rFonts w:asciiTheme="majorHAnsi" w:hAnsiTheme="majorHAnsi" w:cs="Helvetica"/>
          <w:color w:val="545657"/>
          <w:sz w:val="28"/>
          <w:szCs w:val="28"/>
        </w:rPr>
        <w:t>2015 – 2015 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Lecturer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: Alex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Stajkovic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> Deborah Mitchell </w:t>
      </w:r>
    </w:p>
    <w:p w14:paraId="678E95ED" w14:textId="77777777" w:rsidR="0029197C" w:rsidRDefault="0029197C" w:rsidP="0029197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color w:val="343638"/>
          <w:sz w:val="28"/>
          <w:szCs w:val="28"/>
        </w:rPr>
      </w:pPr>
    </w:p>
    <w:p w14:paraId="641A8B39" w14:textId="77777777" w:rsidR="0029197C" w:rsidRPr="0029197C" w:rsidRDefault="0029197C" w:rsidP="0029197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color w:val="343638"/>
          <w:sz w:val="28"/>
          <w:szCs w:val="28"/>
        </w:rPr>
      </w:pPr>
      <w:r w:rsidRPr="0029197C">
        <w:rPr>
          <w:rFonts w:asciiTheme="majorHAnsi" w:hAnsiTheme="majorHAnsi" w:cs="Helvetica"/>
          <w:color w:val="343638"/>
          <w:sz w:val="28"/>
          <w:szCs w:val="28"/>
        </w:rPr>
        <w:t>Segnalazioni</w:t>
      </w:r>
    </w:p>
    <w:p w14:paraId="695BF9A6" w14:textId="77777777" w:rsidR="0029197C" w:rsidRPr="0029197C" w:rsidRDefault="0029197C" w:rsidP="000F4A08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Helvetica"/>
          <w:color w:val="262626"/>
          <w:sz w:val="28"/>
          <w:szCs w:val="28"/>
        </w:rPr>
      </w:pPr>
      <w:r>
        <w:rPr>
          <w:rFonts w:asciiTheme="majorHAnsi" w:hAnsiTheme="majorHAnsi" w:cs="Helvetica"/>
          <w:color w:val="262626"/>
          <w:sz w:val="28"/>
          <w:szCs w:val="28"/>
        </w:rPr>
        <w:t>Q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uello che i membri di </w:t>
      </w:r>
      <w:proofErr w:type="spellStart"/>
      <w:r w:rsidRPr="0029197C">
        <w:rPr>
          <w:rFonts w:asciiTheme="majorHAnsi" w:hAnsiTheme="majorHAnsi" w:cs="Helvetica"/>
          <w:color w:val="262626"/>
          <w:sz w:val="28"/>
          <w:szCs w:val="28"/>
        </w:rPr>
        <w:t>Linked</w:t>
      </w:r>
      <w:r w:rsidR="000F4A08">
        <w:rPr>
          <w:rFonts w:asciiTheme="majorHAnsi" w:hAnsiTheme="majorHAnsi" w:cs="Helvetica"/>
          <w:color w:val="262626"/>
          <w:sz w:val="28"/>
          <w:szCs w:val="28"/>
        </w:rPr>
        <w:t>i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n</w:t>
      </w:r>
      <w:proofErr w:type="spellEnd"/>
      <w:r w:rsidRPr="0029197C">
        <w:rPr>
          <w:rFonts w:asciiTheme="majorHAnsi" w:hAnsiTheme="majorHAnsi" w:cs="Helvetica"/>
          <w:color w:val="262626"/>
          <w:sz w:val="28"/>
          <w:szCs w:val="28"/>
        </w:rPr>
        <w:t xml:space="preserve"> dicono di Luigi</w:t>
      </w:r>
      <w:r w:rsidR="000F4A08">
        <w:rPr>
          <w:rFonts w:asciiTheme="majorHAnsi" w:hAnsiTheme="majorHAnsi" w:cs="Helvetica"/>
          <w:color w:val="262626"/>
          <w:sz w:val="28"/>
          <w:szCs w:val="28"/>
        </w:rPr>
        <w:t xml:space="preserve"> Severini</w:t>
      </w:r>
      <w:r w:rsidRPr="0029197C">
        <w:rPr>
          <w:rFonts w:asciiTheme="majorHAnsi" w:hAnsiTheme="majorHAnsi" w:cs="Helvetica"/>
          <w:color w:val="262626"/>
          <w:sz w:val="28"/>
          <w:szCs w:val="28"/>
        </w:rPr>
        <w:t>:</w:t>
      </w:r>
    </w:p>
    <w:p w14:paraId="08853D62" w14:textId="77777777" w:rsidR="0029197C" w:rsidRPr="0029197C" w:rsidRDefault="0029197C" w:rsidP="0029197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ab/>
      </w:r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ab/>
        <w:t xml:space="preserve">Luigi ha una qualità rara, riesce </w:t>
      </w:r>
      <w:proofErr w:type="gram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ad</w:t>
      </w:r>
      <w:proofErr w:type="gram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essere creativo in tutte le attività che ha svolto. Luigi guarda al futuro, superando il suo stesso carattere, per gettare la sua attività sempre oltre la siepe. Il suo contributo è stato fondamentale per portare le mie attività torinesi in Calabria. </w:t>
      </w:r>
    </w:p>
    <w:p w14:paraId="7A90978A" w14:textId="77777777" w:rsidR="0029197C" w:rsidRPr="0029197C" w:rsidRDefault="0029197C" w:rsidP="0029197C">
      <w:pPr>
        <w:widowControl w:val="0"/>
        <w:numPr>
          <w:ilvl w:val="5"/>
          <w:numId w:val="5"/>
        </w:num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Theme="majorHAnsi" w:hAnsiTheme="majorHAnsi" w:cs="Helvetica"/>
          <w:sz w:val="28"/>
          <w:szCs w:val="28"/>
        </w:rPr>
      </w:pP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Mr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Severini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is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very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Intelligent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and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Knowledgeable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. He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has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a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great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cabability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to be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successful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in ENI in </w:t>
      </w:r>
      <w:proofErr w:type="spellStart"/>
      <w:proofErr w:type="gram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any</w:t>
      </w:r>
      <w:proofErr w:type="spellEnd"/>
      <w:proofErr w:type="gram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position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assigned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to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him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,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specially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as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HR Manager due to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his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excellent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ability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in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handling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Human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Resources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. </w:t>
      </w:r>
      <w:proofErr w:type="gram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I</w:t>
      </w:r>
      <w:proofErr w:type="gram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am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pleased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to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recommend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him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for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this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particular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position. </w:t>
      </w:r>
      <w:proofErr w:type="spellStart"/>
      <w:proofErr w:type="gram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Dott.Ing</w:t>
      </w:r>
      <w:proofErr w:type="spellEnd"/>
      <w:proofErr w:type="gram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Luciano Giorgi Vice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President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- </w:t>
      </w:r>
      <w:proofErr w:type="spellStart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>Punj</w:t>
      </w:r>
      <w:proofErr w:type="spellEnd"/>
      <w:r w:rsidRPr="0029197C">
        <w:rPr>
          <w:rFonts w:asciiTheme="majorHAnsi" w:hAnsiTheme="majorHAnsi" w:cs="Georgia"/>
          <w:i/>
          <w:iCs/>
          <w:color w:val="262626"/>
          <w:sz w:val="28"/>
          <w:szCs w:val="28"/>
        </w:rPr>
        <w:t xml:space="preserve"> Lloyd Ltd.</w:t>
      </w:r>
    </w:p>
    <w:p w14:paraId="18127927" w14:textId="77777777" w:rsidR="0029197C" w:rsidRDefault="0029197C" w:rsidP="0029197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sz w:val="28"/>
          <w:szCs w:val="28"/>
        </w:rPr>
      </w:pPr>
    </w:p>
    <w:p w14:paraId="17BE95ED" w14:textId="77777777" w:rsidR="0029197C" w:rsidRPr="0029197C" w:rsidRDefault="0029197C" w:rsidP="0029197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  <w:color w:val="343638"/>
          <w:sz w:val="28"/>
          <w:szCs w:val="28"/>
        </w:rPr>
      </w:pPr>
      <w:r w:rsidRPr="0029197C">
        <w:rPr>
          <w:rFonts w:asciiTheme="majorHAnsi" w:hAnsiTheme="majorHAnsi" w:cs="Helvetica"/>
          <w:color w:val="343638"/>
          <w:sz w:val="28"/>
          <w:szCs w:val="28"/>
        </w:rPr>
        <w:t>Gruppi</w:t>
      </w:r>
    </w:p>
    <w:p w14:paraId="058A66E3" w14:textId="77777777" w:rsidR="0029197C" w:rsidRPr="0029197C" w:rsidRDefault="0029197C" w:rsidP="0029197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color w:val="215D92"/>
          <w:sz w:val="28"/>
          <w:szCs w:val="28"/>
        </w:rPr>
        <w:tab/>
      </w:r>
      <w:r w:rsidRPr="0029197C">
        <w:rPr>
          <w:rFonts w:asciiTheme="majorHAnsi" w:hAnsiTheme="majorHAnsi" w:cs="Helvetica"/>
          <w:noProof/>
          <w:color w:val="215D92"/>
          <w:sz w:val="28"/>
          <w:szCs w:val="28"/>
        </w:rPr>
        <w:drawing>
          <wp:inline distT="0" distB="0" distL="0" distR="0" wp14:anchorId="54D0D2C7" wp14:editId="6A32F442">
            <wp:extent cx="1269365" cy="635000"/>
            <wp:effectExtent l="0" t="0" r="635" b="0"/>
            <wp:docPr id="6" name="Immagine 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7C">
        <w:rPr>
          <w:rFonts w:asciiTheme="majorHAnsi" w:hAnsiTheme="majorHAnsi" w:cs="Helvetica"/>
          <w:sz w:val="28"/>
          <w:szCs w:val="28"/>
        </w:rPr>
        <w:t> </w:t>
      </w:r>
      <w:hyperlink r:id="rId21" w:history="1"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Project Manager forum [PM forum]</w:t>
        </w:r>
      </w:hyperlink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</w:p>
    <w:p w14:paraId="2999D860" w14:textId="77777777" w:rsidR="0029197C" w:rsidRPr="000F4A08" w:rsidRDefault="0029197C" w:rsidP="0029197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noProof/>
          <w:color w:val="215D92"/>
          <w:sz w:val="28"/>
          <w:szCs w:val="28"/>
        </w:rPr>
        <w:drawing>
          <wp:inline distT="0" distB="0" distL="0" distR="0" wp14:anchorId="3FD16B42" wp14:editId="600C904D">
            <wp:extent cx="1269365" cy="635000"/>
            <wp:effectExtent l="0" t="0" r="635" b="0"/>
            <wp:docPr id="7" name="Immagine 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08">
        <w:rPr>
          <w:rFonts w:asciiTheme="majorHAnsi" w:hAnsiTheme="majorHAnsi" w:cs="Helvetica"/>
          <w:sz w:val="28"/>
          <w:szCs w:val="28"/>
        </w:rPr>
        <w:t> </w:t>
      </w:r>
      <w:hyperlink r:id="rId24" w:history="1">
        <w:r w:rsidRPr="000F4A08">
          <w:rPr>
            <w:rFonts w:asciiTheme="majorHAnsi" w:hAnsiTheme="majorHAnsi" w:cs="Helvetica"/>
            <w:b/>
            <w:bCs/>
            <w:sz w:val="28"/>
            <w:szCs w:val="28"/>
          </w:rPr>
          <w:t>AIDP Calabria</w:t>
        </w:r>
      </w:hyperlink>
      <w:r w:rsidRPr="000F4A08">
        <w:rPr>
          <w:rFonts w:asciiTheme="majorHAnsi" w:hAnsiTheme="majorHAnsi" w:cs="Helvetica"/>
          <w:b/>
          <w:bCs/>
          <w:sz w:val="28"/>
          <w:szCs w:val="28"/>
        </w:rPr>
        <w:t> </w:t>
      </w:r>
      <w:bookmarkStart w:id="0" w:name="_GoBack"/>
      <w:bookmarkEnd w:id="0"/>
      <w:r w:rsidRPr="000F4A08">
        <w:rPr>
          <w:rFonts w:asciiTheme="majorHAnsi" w:hAnsiTheme="majorHAnsi" w:cs="Helvetica"/>
          <w:b/>
          <w:bCs/>
          <w:sz w:val="28"/>
          <w:szCs w:val="28"/>
        </w:rPr>
        <w:t> </w:t>
      </w:r>
      <w:r w:rsidRPr="0029197C">
        <w:rPr>
          <w:rFonts w:asciiTheme="majorHAnsi" w:hAnsiTheme="majorHAnsi" w:cs="Helvetica"/>
          <w:noProof/>
          <w:color w:val="215D92"/>
          <w:sz w:val="28"/>
          <w:szCs w:val="28"/>
        </w:rPr>
        <w:drawing>
          <wp:inline distT="0" distB="0" distL="0" distR="0" wp14:anchorId="5D08C532" wp14:editId="3481E63B">
            <wp:extent cx="1269365" cy="635000"/>
            <wp:effectExtent l="0" t="0" r="635" b="0"/>
            <wp:docPr id="8" name="Immagine 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08">
        <w:rPr>
          <w:rFonts w:asciiTheme="majorHAnsi" w:hAnsiTheme="majorHAnsi" w:cs="Helvetica"/>
          <w:sz w:val="28"/>
          <w:szCs w:val="28"/>
        </w:rPr>
        <w:t> </w:t>
      </w:r>
      <w:hyperlink r:id="rId27" w:history="1">
        <w:r w:rsidRPr="000F4A08">
          <w:rPr>
            <w:rFonts w:asciiTheme="majorHAnsi" w:hAnsiTheme="majorHAnsi" w:cs="Helvetica"/>
            <w:b/>
            <w:bCs/>
            <w:sz w:val="28"/>
            <w:szCs w:val="28"/>
          </w:rPr>
          <w:t xml:space="preserve">AIDP Digital HR </w:t>
        </w:r>
        <w:proofErr w:type="spellStart"/>
        <w:r w:rsidRPr="000F4A08">
          <w:rPr>
            <w:rFonts w:asciiTheme="majorHAnsi" w:hAnsiTheme="majorHAnsi" w:cs="Helvetica"/>
            <w:b/>
            <w:bCs/>
            <w:sz w:val="28"/>
            <w:szCs w:val="28"/>
          </w:rPr>
          <w:t>Innovation</w:t>
        </w:r>
        <w:proofErr w:type="spellEnd"/>
        <w:r w:rsidRPr="000F4A08">
          <w:rPr>
            <w:rFonts w:asciiTheme="majorHAnsi" w:hAnsiTheme="majorHAnsi" w:cs="Helvetica"/>
            <w:b/>
            <w:bCs/>
            <w:sz w:val="28"/>
            <w:szCs w:val="28"/>
          </w:rPr>
          <w:t xml:space="preserve"> Group</w:t>
        </w:r>
      </w:hyperlink>
      <w:r w:rsidRPr="000F4A08">
        <w:rPr>
          <w:rFonts w:asciiTheme="majorHAnsi" w:hAnsiTheme="majorHAnsi" w:cs="Helvetica"/>
          <w:b/>
          <w:bCs/>
          <w:sz w:val="28"/>
          <w:szCs w:val="28"/>
        </w:rPr>
        <w:t>  </w:t>
      </w:r>
    </w:p>
    <w:p w14:paraId="0E0EA069" w14:textId="77777777" w:rsidR="0029197C" w:rsidRPr="0029197C" w:rsidRDefault="0029197C" w:rsidP="0029197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noProof/>
          <w:color w:val="215D92"/>
          <w:sz w:val="28"/>
          <w:szCs w:val="28"/>
        </w:rPr>
        <w:drawing>
          <wp:inline distT="0" distB="0" distL="0" distR="0" wp14:anchorId="766A41D1" wp14:editId="656BEDB4">
            <wp:extent cx="1269365" cy="635000"/>
            <wp:effectExtent l="0" t="0" r="635" b="0"/>
            <wp:docPr id="9" name="Immagine 9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7C">
        <w:rPr>
          <w:rFonts w:asciiTheme="majorHAnsi" w:hAnsiTheme="majorHAnsi" w:cs="Helvetica"/>
          <w:sz w:val="28"/>
          <w:szCs w:val="28"/>
        </w:rPr>
        <w:t> </w:t>
      </w:r>
      <w:hyperlink r:id="rId30" w:history="1"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The </w:t>
        </w:r>
        <w:proofErr w:type="spellStart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Economist</w:t>
        </w:r>
        <w:proofErr w:type="spellEnd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 </w:t>
        </w:r>
        <w:proofErr w:type="spellStart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Newspaper</w:t>
        </w:r>
        <w:proofErr w:type="spellEnd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 </w:t>
        </w:r>
        <w:proofErr w:type="spellStart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readers</w:t>
        </w:r>
        <w:proofErr w:type="spellEnd"/>
      </w:hyperlink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</w:p>
    <w:p w14:paraId="622CA533" w14:textId="77777777" w:rsidR="0029197C" w:rsidRPr="0029197C" w:rsidRDefault="0029197C" w:rsidP="0029197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noProof/>
          <w:color w:val="215D92"/>
          <w:sz w:val="28"/>
          <w:szCs w:val="28"/>
        </w:rPr>
        <w:drawing>
          <wp:inline distT="0" distB="0" distL="0" distR="0" wp14:anchorId="788AF91D" wp14:editId="0683CEDD">
            <wp:extent cx="1269365" cy="635000"/>
            <wp:effectExtent l="0" t="0" r="635" b="0"/>
            <wp:docPr id="10" name="Immagine 1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7C">
        <w:rPr>
          <w:rFonts w:asciiTheme="majorHAnsi" w:hAnsiTheme="majorHAnsi" w:cs="Helvetica"/>
          <w:sz w:val="28"/>
          <w:szCs w:val="28"/>
        </w:rPr>
        <w:t> </w:t>
      </w:r>
      <w:hyperlink r:id="rId33" w:history="1"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HR e DIREZIONE del PERSONALE IN-Italia Jobs &amp; </w:t>
        </w:r>
        <w:proofErr w:type="spellStart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Careers</w:t>
        </w:r>
        <w:proofErr w:type="spellEnd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 </w:t>
        </w:r>
      </w:hyperlink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</w:p>
    <w:p w14:paraId="65CA7330" w14:textId="77777777" w:rsidR="0029197C" w:rsidRPr="0029197C" w:rsidRDefault="0029197C" w:rsidP="0029197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  <w:r w:rsidRPr="0029197C">
        <w:rPr>
          <w:rFonts w:asciiTheme="majorHAnsi" w:hAnsiTheme="majorHAnsi" w:cs="Helvetica"/>
          <w:noProof/>
          <w:color w:val="215D92"/>
          <w:sz w:val="28"/>
          <w:szCs w:val="28"/>
        </w:rPr>
        <w:drawing>
          <wp:inline distT="0" distB="0" distL="0" distR="0" wp14:anchorId="09A3BB8C" wp14:editId="695E935E">
            <wp:extent cx="1269365" cy="635000"/>
            <wp:effectExtent l="0" t="0" r="635" b="0"/>
            <wp:docPr id="11" name="Immagine 1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7C">
        <w:rPr>
          <w:rFonts w:asciiTheme="majorHAnsi" w:hAnsiTheme="majorHAnsi" w:cs="Helvetica"/>
          <w:sz w:val="28"/>
          <w:szCs w:val="28"/>
        </w:rPr>
        <w:t> </w:t>
      </w:r>
      <w:proofErr w:type="spellStart"/>
      <w:r w:rsidRPr="0029197C">
        <w:rPr>
          <w:rFonts w:asciiTheme="majorHAnsi" w:hAnsiTheme="majorHAnsi" w:cs="Helvetica"/>
          <w:sz w:val="28"/>
          <w:szCs w:val="28"/>
        </w:rPr>
        <w:fldChar w:fldCharType="begin"/>
      </w:r>
      <w:r w:rsidRPr="0029197C">
        <w:rPr>
          <w:rFonts w:asciiTheme="majorHAnsi" w:hAnsiTheme="majorHAnsi" w:cs="Helvetica"/>
          <w:sz w:val="28"/>
          <w:szCs w:val="28"/>
        </w:rPr>
        <w:instrText>HYPERLINK "https://www.linkedin.com/groups?gid=2833&amp;trk=prof-groups-membership-name"</w:instrText>
      </w:r>
      <w:r w:rsidRPr="0029197C">
        <w:rPr>
          <w:rFonts w:asciiTheme="majorHAnsi" w:hAnsiTheme="majorHAnsi" w:cs="Helvetica"/>
          <w:sz w:val="28"/>
          <w:szCs w:val="28"/>
        </w:rPr>
      </w:r>
      <w:r w:rsidRPr="0029197C">
        <w:rPr>
          <w:rFonts w:asciiTheme="majorHAnsi" w:hAnsiTheme="majorHAnsi" w:cs="Helvetica"/>
          <w:sz w:val="28"/>
          <w:szCs w:val="28"/>
        </w:rPr>
        <w:fldChar w:fldCharType="separate"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>Lehigh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University</w:t>
      </w:r>
      <w:proofErr w:type="spellEnd"/>
      <w:r w:rsidRPr="0029197C">
        <w:rPr>
          <w:rFonts w:asciiTheme="majorHAnsi" w:hAnsiTheme="majorHAnsi" w:cs="Helvetica"/>
          <w:b/>
          <w:bCs/>
          <w:sz w:val="28"/>
          <w:szCs w:val="28"/>
        </w:rPr>
        <w:t xml:space="preserve"> </w:t>
      </w:r>
      <w:proofErr w:type="spellStart"/>
      <w:r w:rsidRPr="0029197C">
        <w:rPr>
          <w:rFonts w:asciiTheme="majorHAnsi" w:hAnsiTheme="majorHAnsi" w:cs="Helvetica"/>
          <w:b/>
          <w:bCs/>
          <w:sz w:val="28"/>
          <w:szCs w:val="28"/>
        </w:rPr>
        <w:t>Alumni</w:t>
      </w:r>
      <w:proofErr w:type="spellEnd"/>
      <w:r w:rsidRPr="0029197C">
        <w:rPr>
          <w:rFonts w:asciiTheme="majorHAnsi" w:hAnsiTheme="majorHAnsi" w:cs="Helvetica"/>
          <w:sz w:val="28"/>
          <w:szCs w:val="28"/>
        </w:rPr>
        <w:fldChar w:fldCharType="end"/>
      </w:r>
      <w:r w:rsidRPr="0029197C">
        <w:rPr>
          <w:rFonts w:asciiTheme="majorHAnsi" w:hAnsiTheme="majorHAnsi" w:cs="Helvetica"/>
          <w:b/>
          <w:bCs/>
          <w:sz w:val="28"/>
          <w:szCs w:val="28"/>
        </w:rPr>
        <w:t> </w:t>
      </w:r>
    </w:p>
    <w:p w14:paraId="22B1D43A" w14:textId="77777777" w:rsidR="0029197C" w:rsidRPr="0029197C" w:rsidRDefault="0029197C" w:rsidP="0029197C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Theme="majorHAnsi" w:hAnsiTheme="majorHAnsi" w:cs="Helvetica"/>
          <w:sz w:val="28"/>
          <w:szCs w:val="28"/>
        </w:rPr>
      </w:pPr>
      <w:r w:rsidRPr="0029197C">
        <w:rPr>
          <w:rFonts w:asciiTheme="majorHAnsi" w:hAnsiTheme="majorHAnsi" w:cs="Helvetica"/>
          <w:noProof/>
          <w:color w:val="215D92"/>
          <w:sz w:val="28"/>
          <w:szCs w:val="28"/>
        </w:rPr>
        <w:drawing>
          <wp:inline distT="0" distB="0" distL="0" distR="0" wp14:anchorId="6C486F1D" wp14:editId="31DB8FF1">
            <wp:extent cx="1269365" cy="635000"/>
            <wp:effectExtent l="0" t="0" r="635" b="0"/>
            <wp:docPr id="12" name="Immagine 12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7C">
        <w:rPr>
          <w:rFonts w:asciiTheme="majorHAnsi" w:hAnsiTheme="majorHAnsi" w:cs="Helvetica"/>
          <w:sz w:val="28"/>
          <w:szCs w:val="28"/>
        </w:rPr>
        <w:t> </w:t>
      </w:r>
      <w:hyperlink r:id="rId38" w:history="1"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Global </w:t>
        </w:r>
        <w:proofErr w:type="spellStart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>Village</w:t>
        </w:r>
        <w:proofErr w:type="spellEnd"/>
        <w:r w:rsidRPr="0029197C">
          <w:rPr>
            <w:rFonts w:asciiTheme="majorHAnsi" w:hAnsiTheme="majorHAnsi" w:cs="Helvetica"/>
            <w:b/>
            <w:bCs/>
            <w:sz w:val="28"/>
            <w:szCs w:val="28"/>
          </w:rPr>
          <w:t xml:space="preserve"> Network</w:t>
        </w:r>
      </w:hyperlink>
      <w:r w:rsidRPr="0029197C">
        <w:rPr>
          <w:rFonts w:asciiTheme="majorHAnsi" w:hAnsiTheme="majorHAnsi" w:cs="Helvetica"/>
          <w:b/>
          <w:bCs/>
          <w:sz w:val="28"/>
          <w:szCs w:val="28"/>
        </w:rPr>
        <w:t>  </w:t>
      </w:r>
      <w:r w:rsidRPr="0029197C">
        <w:rPr>
          <w:rFonts w:asciiTheme="majorHAnsi" w:hAnsiTheme="majorHAnsi" w:cs="Helvetica"/>
          <w:color w:val="21619F"/>
          <w:sz w:val="28"/>
          <w:szCs w:val="28"/>
        </w:rPr>
        <w:t> </w:t>
      </w:r>
    </w:p>
    <w:p w14:paraId="1B277C1B" w14:textId="77777777" w:rsidR="00D904C2" w:rsidRPr="0029197C" w:rsidRDefault="00D904C2" w:rsidP="0029197C">
      <w:pPr>
        <w:jc w:val="both"/>
        <w:rPr>
          <w:rFonts w:asciiTheme="majorHAnsi" w:hAnsiTheme="majorHAnsi"/>
          <w:sz w:val="28"/>
          <w:szCs w:val="28"/>
        </w:rPr>
      </w:pPr>
    </w:p>
    <w:sectPr w:rsidR="00D904C2" w:rsidRPr="0029197C" w:rsidSect="007874D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7C"/>
    <w:rsid w:val="000F4A08"/>
    <w:rsid w:val="00140A87"/>
    <w:rsid w:val="0029197C"/>
    <w:rsid w:val="00D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1077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97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19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97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19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.png"/><Relationship Id="rId21" Type="http://schemas.openxmlformats.org/officeDocument/2006/relationships/hyperlink" Target="https://www.linkedin.com/groups?gid=4039512&amp;trk=prof-groups-membership-name" TargetMode="External"/><Relationship Id="rId22" Type="http://schemas.openxmlformats.org/officeDocument/2006/relationships/hyperlink" Target="https://www.linkedin.com/groups?gid=8215000&amp;trk=fulpro_grplogo" TargetMode="External"/><Relationship Id="rId23" Type="http://schemas.openxmlformats.org/officeDocument/2006/relationships/image" Target="media/image2.png"/><Relationship Id="rId24" Type="http://schemas.openxmlformats.org/officeDocument/2006/relationships/hyperlink" Target="https://www.linkedin.com/groups?gid=8215000&amp;trk=prof-groups-membership-name" TargetMode="External"/><Relationship Id="rId25" Type="http://schemas.openxmlformats.org/officeDocument/2006/relationships/hyperlink" Target="https://www.linkedin.com/groups?gid=8608235&amp;trk=fulpro_grplogo" TargetMode="External"/><Relationship Id="rId26" Type="http://schemas.openxmlformats.org/officeDocument/2006/relationships/image" Target="media/image3.png"/><Relationship Id="rId27" Type="http://schemas.openxmlformats.org/officeDocument/2006/relationships/hyperlink" Target="https://www.linkedin.com/groups?gid=8608235&amp;trk=prof-groups-membership-name" TargetMode="External"/><Relationship Id="rId28" Type="http://schemas.openxmlformats.org/officeDocument/2006/relationships/hyperlink" Target="https://www.linkedin.com/groups?gid=43593&amp;trk=fulpro_grplogo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linkedin.com/groups?gid=43593&amp;trk=prof-groups-membership-name" TargetMode="External"/><Relationship Id="rId31" Type="http://schemas.openxmlformats.org/officeDocument/2006/relationships/hyperlink" Target="https://www.linkedin.com/groups?gid=2809441&amp;trk=fulpro_grplogo" TargetMode="External"/><Relationship Id="rId32" Type="http://schemas.openxmlformats.org/officeDocument/2006/relationships/image" Target="media/image5.png"/><Relationship Id="rId9" Type="http://schemas.openxmlformats.org/officeDocument/2006/relationships/hyperlink" Target="https://it.linkedin.com/title/presidente?trk=pprofile_title" TargetMode="External"/><Relationship Id="rId6" Type="http://schemas.openxmlformats.org/officeDocument/2006/relationships/hyperlink" Target="https://it.linkedin.com/title/presidente?trk=pprofile_title" TargetMode="External"/><Relationship Id="rId7" Type="http://schemas.openxmlformats.org/officeDocument/2006/relationships/hyperlink" Target="https://it.linkedin.com/title/direttore?trk=pprofile_title" TargetMode="External"/><Relationship Id="rId8" Type="http://schemas.openxmlformats.org/officeDocument/2006/relationships/hyperlink" Target="https://it.linkedin.com/company/cassa-edile-di-catanzaro-crotone-e-vibo-valentia?trk=ppro_cprof" TargetMode="External"/><Relationship Id="rId33" Type="http://schemas.openxmlformats.org/officeDocument/2006/relationships/hyperlink" Target="https://www.linkedin.com/groups?gid=2809441&amp;trk=prof-groups-membership-name" TargetMode="External"/><Relationship Id="rId34" Type="http://schemas.openxmlformats.org/officeDocument/2006/relationships/hyperlink" Target="https://www.linkedin.com/groups?gid=2833&amp;trk=fulpro_grplogo" TargetMode="External"/><Relationship Id="rId35" Type="http://schemas.openxmlformats.org/officeDocument/2006/relationships/image" Target="media/image6.png"/><Relationship Id="rId36" Type="http://schemas.openxmlformats.org/officeDocument/2006/relationships/hyperlink" Target="https://www.linkedin.com/groups?gid=96626&amp;trk=fulpro_grplogo" TargetMode="External"/><Relationship Id="rId10" Type="http://schemas.openxmlformats.org/officeDocument/2006/relationships/hyperlink" Target="https://it.linkedin.com/company/inail?trk=ppro_cprof" TargetMode="External"/><Relationship Id="rId11" Type="http://schemas.openxmlformats.org/officeDocument/2006/relationships/hyperlink" Target="https://it.linkedin.com/title/vice-president?trk=pprofile_title" TargetMode="External"/><Relationship Id="rId12" Type="http://schemas.openxmlformats.org/officeDocument/2006/relationships/hyperlink" Target="https://it.linkedin.com/company/inps?trk=ppro_cprof" TargetMode="External"/><Relationship Id="rId13" Type="http://schemas.openxmlformats.org/officeDocument/2006/relationships/hyperlink" Target="https://it.linkedin.com/company/inps?trk=ppro_cprof" TargetMode="External"/><Relationship Id="rId14" Type="http://schemas.openxmlformats.org/officeDocument/2006/relationships/hyperlink" Target="https://it.linkedin.com/title/advisor?trk=pprofile_title" TargetMode="External"/><Relationship Id="rId15" Type="http://schemas.openxmlformats.org/officeDocument/2006/relationships/hyperlink" Target="https://it.linkedin.com/edu/lehigh-university-19276?trk=ppro_sprof" TargetMode="External"/><Relationship Id="rId16" Type="http://schemas.openxmlformats.org/officeDocument/2006/relationships/hyperlink" Target="https://it.linkedin.com/edu/universit%C3%A0-degli-studi-di-napoli-federico-ii-13878?trk=ppro_sprof" TargetMode="External"/><Relationship Id="rId17" Type="http://schemas.openxmlformats.org/officeDocument/2006/relationships/hyperlink" Target="https://it.linkedin.com/edu/university-magna-graecia-of-catanzaro-13909?trk=ppro_sprof" TargetMode="External"/><Relationship Id="rId18" Type="http://schemas.openxmlformats.org/officeDocument/2006/relationships/hyperlink" Target="https://it.linkedin.com/edu/university-of-wisconsin-madison---school-of-business-19690?trk=ppro_sprof" TargetMode="External"/><Relationship Id="rId19" Type="http://schemas.openxmlformats.org/officeDocument/2006/relationships/hyperlink" Target="https://www.linkedin.com/groups?gid=4039512&amp;trk=fulpro_grplogo" TargetMode="External"/><Relationship Id="rId37" Type="http://schemas.openxmlformats.org/officeDocument/2006/relationships/image" Target="media/image7.png"/><Relationship Id="rId38" Type="http://schemas.openxmlformats.org/officeDocument/2006/relationships/hyperlink" Target="https://www.linkedin.com/groups?gid=96626&amp;trk=prof-groups-membership-name" TargetMode="Externa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1109</Words>
  <Characters>6323</Characters>
  <Application>Microsoft Macintosh Word</Application>
  <DocSecurity>0</DocSecurity>
  <Lines>52</Lines>
  <Paragraphs>14</Paragraphs>
  <ScaleCrop>false</ScaleCrop>
  <Company>Università di Catanzaro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Reina</dc:creator>
  <cp:keywords/>
  <dc:description/>
  <cp:lastModifiedBy>Rocco Reina</cp:lastModifiedBy>
  <cp:revision>2</cp:revision>
  <dcterms:created xsi:type="dcterms:W3CDTF">2017-09-05T22:45:00Z</dcterms:created>
  <dcterms:modified xsi:type="dcterms:W3CDTF">2017-09-05T22:55:00Z</dcterms:modified>
</cp:coreProperties>
</file>